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D41" w:rsidRDefault="006305AC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QNS</w:t>
      </w:r>
      <w:r w:rsidR="00D651E1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General Mandate 2020</w:t>
      </w:r>
    </w:p>
    <w:p w:rsidR="00467BC0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305AC">
        <w:rPr>
          <w:rFonts w:ascii="Arial" w:hAnsi="Arial" w:cs="Arial"/>
          <w:sz w:val="20"/>
          <w:szCs w:val="20"/>
        </w:rPr>
        <w:t>28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6305AC" w:rsidRPr="006305AC">
        <w:rPr>
          <w:rFonts w:ascii="Arial" w:hAnsi="Arial" w:cs="Arial"/>
          <w:sz w:val="20"/>
          <w:szCs w:val="20"/>
        </w:rPr>
        <w:t>Quang</w:t>
      </w:r>
      <w:proofErr w:type="spellEnd"/>
      <w:r w:rsidR="006305AC" w:rsidRPr="006305AC">
        <w:rPr>
          <w:rFonts w:ascii="Arial" w:hAnsi="Arial" w:cs="Arial"/>
          <w:sz w:val="20"/>
          <w:szCs w:val="20"/>
        </w:rPr>
        <w:t xml:space="preserve"> Ngai Sugar Joint Stock Company</w:t>
      </w:r>
      <w:r w:rsidR="006305AC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6305AC">
        <w:rPr>
          <w:rFonts w:ascii="Arial" w:hAnsi="Arial" w:cs="Arial"/>
          <w:sz w:val="20"/>
          <w:szCs w:val="20"/>
        </w:rPr>
        <w:t>General Mandate</w:t>
      </w:r>
      <w:r w:rsidR="00AB21B9" w:rsidRPr="00AB21B9">
        <w:rPr>
          <w:rFonts w:ascii="Arial" w:hAnsi="Arial" w:cs="Arial"/>
          <w:sz w:val="20"/>
          <w:szCs w:val="20"/>
        </w:rPr>
        <w:t xml:space="preserve"> 2020</w:t>
      </w:r>
      <w:r w:rsidR="00AB21B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531A58" w:rsidRDefault="00531A5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General Meeting of Shareholders approved the followings:</w:t>
      </w:r>
    </w:p>
    <w:p w:rsidR="00531A58" w:rsidRDefault="00531A5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</w:t>
      </w:r>
      <w:r w:rsidRPr="00531A58">
        <w:rPr>
          <w:rFonts w:ascii="Arial" w:hAnsi="Arial" w:cs="Arial"/>
          <w:sz w:val="20"/>
          <w:szCs w:val="20"/>
        </w:rPr>
        <w:t xml:space="preserve">Report of the Board of Directors </w:t>
      </w:r>
    </w:p>
    <w:p w:rsidR="00531A58" w:rsidRDefault="00531A5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1A58">
        <w:rPr>
          <w:rFonts w:ascii="Arial" w:hAnsi="Arial" w:cs="Arial"/>
          <w:sz w:val="20"/>
          <w:szCs w:val="20"/>
        </w:rPr>
        <w:t xml:space="preserve">Business results in </w:t>
      </w:r>
      <w:r>
        <w:rPr>
          <w:rFonts w:ascii="Arial" w:hAnsi="Arial" w:cs="Arial"/>
          <w:sz w:val="20"/>
          <w:szCs w:val="20"/>
        </w:rPr>
        <w:t>2019 and business plan in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31A58" w:rsidTr="00531A58">
        <w:tc>
          <w:tcPr>
            <w:tcW w:w="2394" w:type="dxa"/>
          </w:tcPr>
          <w:p w:rsidR="00531A58" w:rsidRDefault="00531A5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A58"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2394" w:type="dxa"/>
          </w:tcPr>
          <w:p w:rsidR="00531A58" w:rsidRDefault="00531A5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A58"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2394" w:type="dxa"/>
          </w:tcPr>
          <w:p w:rsidR="00531A58" w:rsidRDefault="00531A5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in 2019</w:t>
            </w:r>
          </w:p>
        </w:tc>
        <w:tc>
          <w:tcPr>
            <w:tcW w:w="2394" w:type="dxa"/>
          </w:tcPr>
          <w:p w:rsidR="00531A58" w:rsidRDefault="00531A5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</w:t>
            </w:r>
          </w:p>
        </w:tc>
      </w:tr>
      <w:tr w:rsidR="00531A58" w:rsidTr="00531A58">
        <w:tc>
          <w:tcPr>
            <w:tcW w:w="2394" w:type="dxa"/>
          </w:tcPr>
          <w:p w:rsidR="00531A58" w:rsidRDefault="00531A5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A58"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2394" w:type="dxa"/>
          </w:tcPr>
          <w:p w:rsidR="00531A58" w:rsidRDefault="00531A58" w:rsidP="00531A5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A58">
              <w:rPr>
                <w:rFonts w:ascii="Arial" w:hAnsi="Arial" w:cs="Arial"/>
                <w:sz w:val="20"/>
                <w:szCs w:val="20"/>
              </w:rPr>
              <w:t xml:space="preserve">VND Million </w:t>
            </w:r>
          </w:p>
        </w:tc>
        <w:tc>
          <w:tcPr>
            <w:tcW w:w="2394" w:type="dxa"/>
          </w:tcPr>
          <w:p w:rsidR="00531A58" w:rsidRDefault="00531A5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A5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31A58">
              <w:rPr>
                <w:rFonts w:ascii="Arial" w:hAnsi="Arial" w:cs="Arial"/>
                <w:sz w:val="20"/>
                <w:szCs w:val="20"/>
              </w:rPr>
              <w:t>894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31A58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2394" w:type="dxa"/>
          </w:tcPr>
          <w:p w:rsidR="00531A58" w:rsidRDefault="00531A5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</w:t>
            </w:r>
            <w:r w:rsidRPr="00531A58">
              <w:rPr>
                <w:rFonts w:ascii="Arial" w:hAnsi="Arial" w:cs="Arial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31A5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531A58" w:rsidTr="00531A58">
        <w:tc>
          <w:tcPr>
            <w:tcW w:w="2394" w:type="dxa"/>
          </w:tcPr>
          <w:p w:rsidR="00531A58" w:rsidRDefault="00531A5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A58"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2394" w:type="dxa"/>
          </w:tcPr>
          <w:p w:rsidR="00531A58" w:rsidRDefault="00531A58">
            <w:r w:rsidRPr="00D50D47">
              <w:rPr>
                <w:rFonts w:ascii="Arial" w:hAnsi="Arial" w:cs="Arial"/>
                <w:sz w:val="20"/>
                <w:szCs w:val="20"/>
              </w:rPr>
              <w:t xml:space="preserve">VND Million </w:t>
            </w:r>
          </w:p>
        </w:tc>
        <w:tc>
          <w:tcPr>
            <w:tcW w:w="2394" w:type="dxa"/>
          </w:tcPr>
          <w:p w:rsidR="00531A58" w:rsidRDefault="00531A58" w:rsidP="00531A5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Pr="00531A58">
              <w:rPr>
                <w:rFonts w:ascii="Arial" w:hAnsi="Arial" w:cs="Arial"/>
                <w:sz w:val="20"/>
                <w:szCs w:val="20"/>
              </w:rPr>
              <w:t>543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31A58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2394" w:type="dxa"/>
          </w:tcPr>
          <w:p w:rsidR="00531A58" w:rsidRDefault="00531A58" w:rsidP="00531A5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Pr="00531A58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31A5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531A58" w:rsidTr="00531A58">
        <w:tc>
          <w:tcPr>
            <w:tcW w:w="2394" w:type="dxa"/>
          </w:tcPr>
          <w:p w:rsidR="00531A58" w:rsidRDefault="00531A5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A58">
              <w:rPr>
                <w:rFonts w:ascii="Arial" w:hAnsi="Arial" w:cs="Arial"/>
                <w:sz w:val="20"/>
                <w:szCs w:val="20"/>
              </w:rPr>
              <w:t>Profit after tax</w:t>
            </w:r>
          </w:p>
        </w:tc>
        <w:tc>
          <w:tcPr>
            <w:tcW w:w="2394" w:type="dxa"/>
          </w:tcPr>
          <w:p w:rsidR="00531A58" w:rsidRDefault="00531A58">
            <w:r w:rsidRPr="00D50D47">
              <w:rPr>
                <w:rFonts w:ascii="Arial" w:hAnsi="Arial" w:cs="Arial"/>
                <w:sz w:val="20"/>
                <w:szCs w:val="20"/>
              </w:rPr>
              <w:t xml:space="preserve">VND Million </w:t>
            </w:r>
          </w:p>
        </w:tc>
        <w:tc>
          <w:tcPr>
            <w:tcW w:w="2394" w:type="dxa"/>
          </w:tcPr>
          <w:p w:rsidR="00531A58" w:rsidRDefault="00531A5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Pr="00531A58">
              <w:rPr>
                <w:rFonts w:ascii="Arial" w:hAnsi="Arial" w:cs="Arial"/>
                <w:sz w:val="20"/>
                <w:szCs w:val="20"/>
              </w:rPr>
              <w:t>291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31A58"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2394" w:type="dxa"/>
          </w:tcPr>
          <w:p w:rsidR="00531A58" w:rsidRDefault="00531A5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A58">
              <w:rPr>
                <w:rFonts w:ascii="Arial" w:hAnsi="Arial" w:cs="Arial"/>
                <w:sz w:val="20"/>
                <w:szCs w:val="20"/>
              </w:rPr>
              <w:t>913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31A5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531A58" w:rsidTr="00531A58">
        <w:tc>
          <w:tcPr>
            <w:tcW w:w="2394" w:type="dxa"/>
          </w:tcPr>
          <w:p w:rsidR="00531A58" w:rsidRDefault="00531A5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Dividend payment </w:t>
            </w:r>
          </w:p>
        </w:tc>
        <w:tc>
          <w:tcPr>
            <w:tcW w:w="2394" w:type="dxa"/>
          </w:tcPr>
          <w:p w:rsidR="00531A58" w:rsidRDefault="00531A58">
            <w:r w:rsidRPr="00D50D47">
              <w:rPr>
                <w:rFonts w:ascii="Arial" w:hAnsi="Arial" w:cs="Arial"/>
                <w:sz w:val="20"/>
                <w:szCs w:val="20"/>
              </w:rPr>
              <w:t xml:space="preserve">VND Million </w:t>
            </w:r>
          </w:p>
        </w:tc>
        <w:tc>
          <w:tcPr>
            <w:tcW w:w="2394" w:type="dxa"/>
          </w:tcPr>
          <w:p w:rsidR="00531A58" w:rsidRDefault="00531A5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Pr="00531A58">
              <w:rPr>
                <w:rFonts w:ascii="Arial" w:hAnsi="Arial" w:cs="Arial"/>
                <w:sz w:val="20"/>
                <w:szCs w:val="20"/>
              </w:rPr>
              <w:t>070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31A58"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2394" w:type="dxa"/>
          </w:tcPr>
          <w:p w:rsidR="00531A58" w:rsidRDefault="00531A5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A58" w:rsidTr="00531A58">
        <w:tc>
          <w:tcPr>
            <w:tcW w:w="2394" w:type="dxa"/>
          </w:tcPr>
          <w:p w:rsidR="00531A58" w:rsidRDefault="00531A5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rate</w:t>
            </w:r>
          </w:p>
        </w:tc>
        <w:tc>
          <w:tcPr>
            <w:tcW w:w="2394" w:type="dxa"/>
          </w:tcPr>
          <w:p w:rsidR="00531A58" w:rsidRDefault="00531A5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94" w:type="dxa"/>
          </w:tcPr>
          <w:p w:rsidR="00531A58" w:rsidRDefault="00531A5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394" w:type="dxa"/>
          </w:tcPr>
          <w:p w:rsidR="00531A58" w:rsidRDefault="00531A5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≥15</w:t>
            </w:r>
          </w:p>
        </w:tc>
      </w:tr>
    </w:tbl>
    <w:p w:rsidR="00531A58" w:rsidRDefault="00531A5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31A58" w:rsidRDefault="00531A5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</w:t>
      </w:r>
      <w:r w:rsidRPr="00531A58">
        <w:rPr>
          <w:rFonts w:ascii="Arial" w:hAnsi="Arial" w:cs="Arial"/>
          <w:sz w:val="20"/>
          <w:szCs w:val="20"/>
        </w:rPr>
        <w:t xml:space="preserve">Report of the Board of Supervisors </w:t>
      </w:r>
    </w:p>
    <w:p w:rsidR="00531A58" w:rsidRDefault="00531A5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III. </w:t>
      </w:r>
      <w:r w:rsidRPr="00531A58">
        <w:rPr>
          <w:rFonts w:ascii="Arial" w:hAnsi="Arial" w:cs="Arial"/>
          <w:sz w:val="20"/>
          <w:szCs w:val="20"/>
        </w:rPr>
        <w:t xml:space="preserve">Audited financial statements and consolidated financial statements in 2019 </w:t>
      </w:r>
    </w:p>
    <w:p w:rsidR="00531A58" w:rsidRDefault="00531A5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</w:t>
      </w:r>
      <w:r w:rsidRPr="00531A58">
        <w:rPr>
          <w:rFonts w:ascii="Arial" w:hAnsi="Arial" w:cs="Arial"/>
          <w:sz w:val="20"/>
          <w:szCs w:val="20"/>
        </w:rPr>
        <w:t xml:space="preserve"> Profit distribution plan for 2019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6030"/>
        <w:gridCol w:w="2718"/>
      </w:tblGrid>
      <w:tr w:rsidR="00531A58" w:rsidTr="000E2DC7">
        <w:tc>
          <w:tcPr>
            <w:tcW w:w="828" w:type="dxa"/>
          </w:tcPr>
          <w:p w:rsidR="00531A58" w:rsidRDefault="00531A5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030" w:type="dxa"/>
          </w:tcPr>
          <w:p w:rsidR="00531A58" w:rsidRDefault="00531A5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2718" w:type="dxa"/>
          </w:tcPr>
          <w:p w:rsidR="00531A58" w:rsidRDefault="00531A5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(VND)</w:t>
            </w:r>
          </w:p>
        </w:tc>
      </w:tr>
      <w:tr w:rsidR="00531A58" w:rsidTr="000E2DC7">
        <w:tc>
          <w:tcPr>
            <w:tcW w:w="828" w:type="dxa"/>
          </w:tcPr>
          <w:p w:rsidR="00531A58" w:rsidRDefault="00531A5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6030" w:type="dxa"/>
          </w:tcPr>
          <w:p w:rsidR="00531A58" w:rsidRDefault="00531A5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after tax in consolidated financial statement of 2019</w:t>
            </w:r>
          </w:p>
        </w:tc>
        <w:tc>
          <w:tcPr>
            <w:tcW w:w="2718" w:type="dxa"/>
          </w:tcPr>
          <w:p w:rsidR="00531A58" w:rsidRDefault="000E2DC7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A5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31A58">
              <w:rPr>
                <w:rFonts w:ascii="Arial" w:hAnsi="Arial" w:cs="Arial"/>
                <w:sz w:val="20"/>
                <w:szCs w:val="20"/>
              </w:rPr>
              <w:t>291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31A58">
              <w:rPr>
                <w:rFonts w:ascii="Arial" w:hAnsi="Arial" w:cs="Arial"/>
                <w:sz w:val="20"/>
                <w:szCs w:val="20"/>
              </w:rPr>
              <w:t>776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31A58">
              <w:rPr>
                <w:rFonts w:ascii="Arial" w:hAnsi="Arial" w:cs="Arial"/>
                <w:sz w:val="20"/>
                <w:szCs w:val="20"/>
              </w:rPr>
              <w:t>601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31A58">
              <w:rPr>
                <w:rFonts w:ascii="Arial" w:hAnsi="Arial" w:cs="Arial"/>
                <w:sz w:val="20"/>
                <w:szCs w:val="20"/>
              </w:rPr>
              <w:t>066</w:t>
            </w:r>
          </w:p>
        </w:tc>
      </w:tr>
      <w:tr w:rsidR="00531A58" w:rsidTr="000E2DC7">
        <w:tc>
          <w:tcPr>
            <w:tcW w:w="828" w:type="dxa"/>
          </w:tcPr>
          <w:p w:rsidR="00531A58" w:rsidRDefault="00531A5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6030" w:type="dxa"/>
          </w:tcPr>
          <w:p w:rsidR="00531A58" w:rsidRDefault="00531A5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A58">
              <w:rPr>
                <w:rFonts w:ascii="Arial" w:hAnsi="Arial" w:cs="Arial"/>
                <w:sz w:val="20"/>
                <w:szCs w:val="20"/>
              </w:rPr>
              <w:t>Distribution from profit after tax in 2019</w:t>
            </w:r>
          </w:p>
        </w:tc>
        <w:tc>
          <w:tcPr>
            <w:tcW w:w="2718" w:type="dxa"/>
          </w:tcPr>
          <w:p w:rsidR="00531A58" w:rsidRDefault="000E2DC7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A5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31A58">
              <w:rPr>
                <w:rFonts w:ascii="Arial" w:hAnsi="Arial" w:cs="Arial"/>
                <w:sz w:val="20"/>
                <w:szCs w:val="20"/>
              </w:rPr>
              <w:t>122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31A58">
              <w:rPr>
                <w:rFonts w:ascii="Arial" w:hAnsi="Arial" w:cs="Arial"/>
                <w:sz w:val="20"/>
                <w:szCs w:val="20"/>
              </w:rPr>
              <w:t>490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31A58">
              <w:rPr>
                <w:rFonts w:ascii="Arial" w:hAnsi="Arial" w:cs="Arial"/>
                <w:sz w:val="20"/>
                <w:szCs w:val="20"/>
              </w:rPr>
              <w:t>929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31A58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</w:tr>
      <w:tr w:rsidR="00531A58" w:rsidTr="000E2DC7">
        <w:tc>
          <w:tcPr>
            <w:tcW w:w="828" w:type="dxa"/>
          </w:tcPr>
          <w:p w:rsidR="00531A58" w:rsidRDefault="00531A5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30" w:type="dxa"/>
          </w:tcPr>
          <w:p w:rsidR="00531A58" w:rsidRDefault="00531A5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A58">
              <w:rPr>
                <w:rFonts w:ascii="Arial" w:hAnsi="Arial" w:cs="Arial"/>
                <w:sz w:val="20"/>
                <w:szCs w:val="20"/>
              </w:rPr>
              <w:t>Appropriation of funds in 2019</w:t>
            </w:r>
          </w:p>
        </w:tc>
        <w:tc>
          <w:tcPr>
            <w:tcW w:w="2718" w:type="dxa"/>
          </w:tcPr>
          <w:p w:rsidR="00531A58" w:rsidRDefault="000E2DC7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A58">
              <w:rPr>
                <w:rFonts w:ascii="Arial" w:hAnsi="Arial" w:cs="Arial"/>
                <w:sz w:val="20"/>
                <w:szCs w:val="20"/>
              </w:rPr>
              <w:t>51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31A58">
              <w:rPr>
                <w:rFonts w:ascii="Arial" w:hAnsi="Arial" w:cs="Arial"/>
                <w:sz w:val="20"/>
                <w:szCs w:val="20"/>
              </w:rPr>
              <w:t>671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31A58">
              <w:rPr>
                <w:rFonts w:ascii="Arial" w:hAnsi="Arial" w:cs="Arial"/>
                <w:sz w:val="20"/>
                <w:szCs w:val="20"/>
              </w:rPr>
              <w:t>064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31A58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</w:tr>
      <w:tr w:rsidR="00531A58" w:rsidTr="000E2DC7">
        <w:tc>
          <w:tcPr>
            <w:tcW w:w="828" w:type="dxa"/>
          </w:tcPr>
          <w:p w:rsidR="00531A58" w:rsidRDefault="00531A5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531A58" w:rsidRDefault="00531A58" w:rsidP="00531A5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A58">
              <w:rPr>
                <w:rFonts w:ascii="Arial" w:hAnsi="Arial" w:cs="Arial"/>
                <w:sz w:val="20"/>
                <w:szCs w:val="20"/>
              </w:rPr>
              <w:t>Development investment fund (3% of profit after tax)</w:t>
            </w:r>
          </w:p>
        </w:tc>
        <w:tc>
          <w:tcPr>
            <w:tcW w:w="2718" w:type="dxa"/>
          </w:tcPr>
          <w:p w:rsidR="00531A58" w:rsidRDefault="000E2DC7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A58">
              <w:rPr>
                <w:rFonts w:ascii="Arial" w:hAnsi="Arial" w:cs="Arial"/>
                <w:sz w:val="20"/>
                <w:szCs w:val="20"/>
              </w:rPr>
              <w:t>38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31A58">
              <w:rPr>
                <w:rFonts w:ascii="Arial" w:hAnsi="Arial" w:cs="Arial"/>
                <w:sz w:val="20"/>
                <w:szCs w:val="20"/>
              </w:rPr>
              <w:t>753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31A58">
              <w:rPr>
                <w:rFonts w:ascii="Arial" w:hAnsi="Arial" w:cs="Arial"/>
                <w:sz w:val="20"/>
                <w:szCs w:val="20"/>
              </w:rPr>
              <w:t>298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31A58">
              <w:rPr>
                <w:rFonts w:ascii="Arial" w:hAnsi="Arial" w:cs="Arial"/>
                <w:sz w:val="20"/>
                <w:szCs w:val="20"/>
              </w:rPr>
              <w:t>032</w:t>
            </w:r>
          </w:p>
        </w:tc>
      </w:tr>
      <w:tr w:rsidR="00531A58" w:rsidTr="000E2DC7">
        <w:tc>
          <w:tcPr>
            <w:tcW w:w="828" w:type="dxa"/>
          </w:tcPr>
          <w:p w:rsidR="00531A58" w:rsidRDefault="00531A5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531A58" w:rsidRDefault="00531A5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A58">
              <w:rPr>
                <w:rFonts w:ascii="Arial" w:hAnsi="Arial" w:cs="Arial"/>
                <w:sz w:val="20"/>
                <w:szCs w:val="20"/>
              </w:rPr>
              <w:t xml:space="preserve">Welfare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reward </w:t>
            </w:r>
            <w:r w:rsidRPr="00531A58">
              <w:rPr>
                <w:rFonts w:ascii="Arial" w:hAnsi="Arial" w:cs="Arial"/>
                <w:sz w:val="20"/>
                <w:szCs w:val="20"/>
              </w:rPr>
              <w:t>fund (1% of profit after tax)</w:t>
            </w:r>
          </w:p>
        </w:tc>
        <w:tc>
          <w:tcPr>
            <w:tcW w:w="2718" w:type="dxa"/>
          </w:tcPr>
          <w:p w:rsidR="00531A58" w:rsidRDefault="000E2DC7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A58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31A58">
              <w:rPr>
                <w:rFonts w:ascii="Arial" w:hAnsi="Arial" w:cs="Arial"/>
                <w:sz w:val="20"/>
                <w:szCs w:val="20"/>
              </w:rPr>
              <w:t>917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31A58">
              <w:rPr>
                <w:rFonts w:ascii="Arial" w:hAnsi="Arial" w:cs="Arial"/>
                <w:sz w:val="20"/>
                <w:szCs w:val="20"/>
              </w:rPr>
              <w:t>766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31A58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</w:tr>
      <w:tr w:rsidR="00531A58" w:rsidTr="000E2DC7">
        <w:tc>
          <w:tcPr>
            <w:tcW w:w="828" w:type="dxa"/>
          </w:tcPr>
          <w:p w:rsidR="00531A58" w:rsidRDefault="00531A5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30" w:type="dxa"/>
          </w:tcPr>
          <w:p w:rsidR="00531A58" w:rsidRPr="00531A58" w:rsidRDefault="00531A5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A58">
              <w:rPr>
                <w:rFonts w:ascii="Arial" w:hAnsi="Arial" w:cs="Arial"/>
                <w:sz w:val="20"/>
                <w:szCs w:val="20"/>
              </w:rPr>
              <w:t>Dividend distribution to shareholders (30% of charter capital)</w:t>
            </w:r>
          </w:p>
        </w:tc>
        <w:tc>
          <w:tcPr>
            <w:tcW w:w="2718" w:type="dxa"/>
          </w:tcPr>
          <w:p w:rsidR="00531A58" w:rsidRDefault="000E2DC7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A5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31A58">
              <w:rPr>
                <w:rFonts w:ascii="Arial" w:hAnsi="Arial" w:cs="Arial"/>
                <w:sz w:val="20"/>
                <w:szCs w:val="20"/>
              </w:rPr>
              <w:t>070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31A58">
              <w:rPr>
                <w:rFonts w:ascii="Arial" w:hAnsi="Arial" w:cs="Arial"/>
                <w:sz w:val="20"/>
                <w:szCs w:val="20"/>
              </w:rPr>
              <w:t>819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31A58">
              <w:rPr>
                <w:rFonts w:ascii="Arial" w:hAnsi="Arial" w:cs="Arial"/>
                <w:sz w:val="20"/>
                <w:szCs w:val="20"/>
              </w:rPr>
              <w:t>865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31A5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531A58" w:rsidTr="000E2DC7">
        <w:tc>
          <w:tcPr>
            <w:tcW w:w="828" w:type="dxa"/>
          </w:tcPr>
          <w:p w:rsidR="00531A58" w:rsidRDefault="000E2DC7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030" w:type="dxa"/>
          </w:tcPr>
          <w:p w:rsidR="00531A58" w:rsidRPr="00531A58" w:rsidRDefault="000E2DC7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Retained profit of 2019</w:t>
            </w:r>
          </w:p>
        </w:tc>
        <w:tc>
          <w:tcPr>
            <w:tcW w:w="2718" w:type="dxa"/>
          </w:tcPr>
          <w:p w:rsidR="00531A58" w:rsidRDefault="000E2DC7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A58">
              <w:rPr>
                <w:rFonts w:ascii="Arial" w:hAnsi="Arial" w:cs="Arial"/>
                <w:sz w:val="20"/>
                <w:szCs w:val="20"/>
              </w:rPr>
              <w:t>169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31A58">
              <w:rPr>
                <w:rFonts w:ascii="Arial" w:hAnsi="Arial" w:cs="Arial"/>
                <w:sz w:val="20"/>
                <w:szCs w:val="20"/>
              </w:rPr>
              <w:t>285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31A58">
              <w:rPr>
                <w:rFonts w:ascii="Arial" w:hAnsi="Arial" w:cs="Arial"/>
                <w:sz w:val="20"/>
                <w:szCs w:val="20"/>
              </w:rPr>
              <w:t>672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31A58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</w:tr>
      <w:tr w:rsidR="00531A58" w:rsidTr="000E2DC7">
        <w:tc>
          <w:tcPr>
            <w:tcW w:w="828" w:type="dxa"/>
          </w:tcPr>
          <w:p w:rsidR="00531A58" w:rsidRDefault="000E2DC7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6030" w:type="dxa"/>
          </w:tcPr>
          <w:p w:rsidR="00531A58" w:rsidRPr="00531A58" w:rsidRDefault="000E2DC7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Retained profit for carrying over to the next year</w:t>
            </w:r>
          </w:p>
        </w:tc>
        <w:tc>
          <w:tcPr>
            <w:tcW w:w="2718" w:type="dxa"/>
          </w:tcPr>
          <w:p w:rsidR="00531A58" w:rsidRDefault="000E2DC7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A5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31A58">
              <w:rPr>
                <w:rFonts w:ascii="Arial" w:hAnsi="Arial" w:cs="Arial"/>
                <w:sz w:val="20"/>
                <w:szCs w:val="20"/>
              </w:rPr>
              <w:t>008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31A58">
              <w:rPr>
                <w:rFonts w:ascii="Arial" w:hAnsi="Arial" w:cs="Arial"/>
                <w:sz w:val="20"/>
                <w:szCs w:val="20"/>
              </w:rPr>
              <w:t>072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31A58">
              <w:rPr>
                <w:rFonts w:ascii="Arial" w:hAnsi="Arial" w:cs="Arial"/>
                <w:sz w:val="20"/>
                <w:szCs w:val="20"/>
              </w:rPr>
              <w:t>233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31A58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</w:tr>
    </w:tbl>
    <w:p w:rsidR="00531A58" w:rsidRDefault="00531A5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1A58" w:rsidRDefault="000E2DC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531A58" w:rsidRPr="00531A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Paying the remaining dividend of</w:t>
      </w:r>
      <w:r w:rsidR="00531A58" w:rsidRPr="00531A58">
        <w:rPr>
          <w:rFonts w:ascii="Arial" w:hAnsi="Arial" w:cs="Arial"/>
          <w:sz w:val="20"/>
          <w:szCs w:val="20"/>
        </w:rPr>
        <w:t xml:space="preserve"> 2019 in cash:</w:t>
      </w:r>
    </w:p>
    <w:p w:rsidR="000E2DC7" w:rsidRDefault="000E2DC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Exercise ratio:</w:t>
      </w:r>
      <w:r w:rsidRPr="000E2DC7">
        <w:rPr>
          <w:rFonts w:ascii="Arial" w:hAnsi="Arial" w:cs="Arial"/>
          <w:sz w:val="20"/>
          <w:szCs w:val="20"/>
        </w:rPr>
        <w:t xml:space="preserve"> 15% </w:t>
      </w:r>
    </w:p>
    <w:p w:rsidR="000E2DC7" w:rsidRDefault="000E2DC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2DC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Person receiving</w:t>
      </w:r>
      <w:r w:rsidRPr="000E2DC7">
        <w:rPr>
          <w:rFonts w:ascii="Arial" w:hAnsi="Arial" w:cs="Arial"/>
          <w:sz w:val="20"/>
          <w:szCs w:val="20"/>
        </w:rPr>
        <w:t xml:space="preserve"> cash dividend: shareholder</w:t>
      </w:r>
      <w:r>
        <w:rPr>
          <w:rFonts w:ascii="Arial" w:hAnsi="Arial" w:cs="Arial"/>
          <w:sz w:val="20"/>
          <w:szCs w:val="20"/>
        </w:rPr>
        <w:t>s</w:t>
      </w:r>
      <w:r w:rsidRPr="000E2DC7">
        <w:rPr>
          <w:rFonts w:ascii="Arial" w:hAnsi="Arial" w:cs="Arial"/>
          <w:sz w:val="20"/>
          <w:szCs w:val="20"/>
        </w:rPr>
        <w:t xml:space="preserve"> name</w:t>
      </w:r>
      <w:r>
        <w:rPr>
          <w:rFonts w:ascii="Arial" w:hAnsi="Arial" w:cs="Arial"/>
          <w:sz w:val="20"/>
          <w:szCs w:val="20"/>
        </w:rPr>
        <w:t>d</w:t>
      </w:r>
      <w:r w:rsidRPr="000E2D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Pr="000E2DC7">
        <w:rPr>
          <w:rFonts w:ascii="Arial" w:hAnsi="Arial" w:cs="Arial"/>
          <w:sz w:val="20"/>
          <w:szCs w:val="20"/>
        </w:rPr>
        <w:t xml:space="preserve"> the list of shareholders </w:t>
      </w:r>
      <w:r>
        <w:rPr>
          <w:rFonts w:ascii="Arial" w:hAnsi="Arial" w:cs="Arial"/>
          <w:sz w:val="20"/>
          <w:szCs w:val="20"/>
        </w:rPr>
        <w:t>on the record date</w:t>
      </w:r>
      <w:r w:rsidRPr="000E2DC7"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April 17, 2020</w:t>
      </w:r>
    </w:p>
    <w:p w:rsidR="000E2DC7" w:rsidRDefault="000E2DC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Payment date: May 8, 2020</w:t>
      </w:r>
    </w:p>
    <w:p w:rsidR="000E2DC7" w:rsidRDefault="000E2DC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V. </w:t>
      </w:r>
      <w:r w:rsidRPr="000E2DC7">
        <w:rPr>
          <w:rFonts w:ascii="Arial" w:hAnsi="Arial" w:cs="Arial"/>
          <w:sz w:val="20"/>
          <w:szCs w:val="20"/>
        </w:rPr>
        <w:t xml:space="preserve">Business plan for 2020 </w:t>
      </w:r>
    </w:p>
    <w:p w:rsidR="000E2DC7" w:rsidRDefault="000E2DC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2DC7">
        <w:rPr>
          <w:rFonts w:ascii="Arial" w:hAnsi="Arial" w:cs="Arial"/>
          <w:sz w:val="20"/>
          <w:szCs w:val="20"/>
        </w:rPr>
        <w:t xml:space="preserve">1.  Financial targets: </w:t>
      </w:r>
    </w:p>
    <w:p w:rsidR="000E2DC7" w:rsidRDefault="000E2DC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2DC7">
        <w:rPr>
          <w:rFonts w:ascii="Arial" w:hAnsi="Arial" w:cs="Arial"/>
          <w:sz w:val="20"/>
          <w:szCs w:val="20"/>
        </w:rPr>
        <w:t>Revenue: VND 8</w:t>
      </w:r>
      <w:r>
        <w:rPr>
          <w:rFonts w:ascii="Arial" w:hAnsi="Arial" w:cs="Arial"/>
          <w:sz w:val="20"/>
          <w:szCs w:val="20"/>
        </w:rPr>
        <w:t>,</w:t>
      </w:r>
      <w:r w:rsidRPr="000E2DC7">
        <w:rPr>
          <w:rFonts w:ascii="Arial" w:hAnsi="Arial" w:cs="Arial"/>
          <w:sz w:val="20"/>
          <w:szCs w:val="20"/>
        </w:rPr>
        <w:t>400</w:t>
      </w:r>
      <w:r>
        <w:rPr>
          <w:rFonts w:ascii="Arial" w:hAnsi="Arial" w:cs="Arial"/>
          <w:sz w:val="20"/>
          <w:szCs w:val="20"/>
        </w:rPr>
        <w:t>,</w:t>
      </w:r>
      <w:r w:rsidRPr="000E2DC7">
        <w:rPr>
          <w:rFonts w:ascii="Arial" w:hAnsi="Arial" w:cs="Arial"/>
          <w:sz w:val="20"/>
          <w:szCs w:val="20"/>
        </w:rPr>
        <w:t xml:space="preserve">000 million </w:t>
      </w:r>
    </w:p>
    <w:p w:rsidR="000E2DC7" w:rsidRDefault="000E2DC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2DC7">
        <w:rPr>
          <w:rFonts w:ascii="Arial" w:hAnsi="Arial" w:cs="Arial"/>
          <w:sz w:val="20"/>
          <w:szCs w:val="20"/>
        </w:rPr>
        <w:t>Profit before tax: VND 1</w:t>
      </w:r>
      <w:r>
        <w:rPr>
          <w:rFonts w:ascii="Arial" w:hAnsi="Arial" w:cs="Arial"/>
          <w:sz w:val="20"/>
          <w:szCs w:val="20"/>
        </w:rPr>
        <w:t>,</w:t>
      </w:r>
      <w:r w:rsidRPr="000E2DC7"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z w:val="20"/>
          <w:szCs w:val="20"/>
        </w:rPr>
        <w:t>,</w:t>
      </w:r>
      <w:r w:rsidRPr="000E2DC7">
        <w:rPr>
          <w:rFonts w:ascii="Arial" w:hAnsi="Arial" w:cs="Arial"/>
          <w:sz w:val="20"/>
          <w:szCs w:val="20"/>
        </w:rPr>
        <w:t xml:space="preserve">000 million </w:t>
      </w:r>
    </w:p>
    <w:p w:rsidR="000E2DC7" w:rsidRDefault="000E2DC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Profit after tax: VND</w:t>
      </w:r>
      <w:r w:rsidRPr="000E2DC7">
        <w:rPr>
          <w:rFonts w:ascii="Arial" w:hAnsi="Arial" w:cs="Arial"/>
          <w:sz w:val="20"/>
          <w:szCs w:val="20"/>
        </w:rPr>
        <w:t xml:space="preserve"> 913,000 million</w:t>
      </w:r>
    </w:p>
    <w:p w:rsidR="008435EE" w:rsidRDefault="008435E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8435EE">
        <w:rPr>
          <w:rFonts w:ascii="Arial" w:hAnsi="Arial" w:cs="Arial"/>
          <w:sz w:val="20"/>
          <w:szCs w:val="20"/>
        </w:rPr>
        <w:t xml:space="preserve"> Profit distribution plan for 2020: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770"/>
        <w:gridCol w:w="1764"/>
        <w:gridCol w:w="2394"/>
      </w:tblGrid>
      <w:tr w:rsidR="008435EE" w:rsidTr="00265BE3">
        <w:tc>
          <w:tcPr>
            <w:tcW w:w="648" w:type="dxa"/>
          </w:tcPr>
          <w:p w:rsidR="008435EE" w:rsidRDefault="008435E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770" w:type="dxa"/>
          </w:tcPr>
          <w:p w:rsidR="008435EE" w:rsidRDefault="00265BE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1764" w:type="dxa"/>
          </w:tcPr>
          <w:p w:rsidR="008435EE" w:rsidRDefault="008435E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2394" w:type="dxa"/>
          </w:tcPr>
          <w:p w:rsidR="008435EE" w:rsidRDefault="008435E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</w:t>
            </w:r>
          </w:p>
        </w:tc>
      </w:tr>
      <w:tr w:rsidR="008435EE" w:rsidTr="00265BE3">
        <w:tc>
          <w:tcPr>
            <w:tcW w:w="648" w:type="dxa"/>
          </w:tcPr>
          <w:p w:rsidR="008435EE" w:rsidRPr="008435EE" w:rsidRDefault="008435EE" w:rsidP="00265BE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8435EE" w:rsidRDefault="00265BE3" w:rsidP="00265BE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5EE">
              <w:rPr>
                <w:rFonts w:ascii="Arial" w:hAnsi="Arial" w:cs="Arial"/>
                <w:sz w:val="20"/>
                <w:szCs w:val="20"/>
              </w:rPr>
              <w:t xml:space="preserve">Estimated charter capital until December 31, 2020 </w:t>
            </w:r>
          </w:p>
        </w:tc>
        <w:tc>
          <w:tcPr>
            <w:tcW w:w="1764" w:type="dxa"/>
          </w:tcPr>
          <w:p w:rsidR="008435EE" w:rsidRDefault="00265BE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5EE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394" w:type="dxa"/>
          </w:tcPr>
          <w:p w:rsidR="008435EE" w:rsidRDefault="00265BE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5E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435EE">
              <w:rPr>
                <w:rFonts w:ascii="Arial" w:hAnsi="Arial" w:cs="Arial"/>
                <w:sz w:val="20"/>
                <w:szCs w:val="20"/>
              </w:rPr>
              <w:t>569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435EE">
              <w:rPr>
                <w:rFonts w:ascii="Arial" w:hAnsi="Arial" w:cs="Arial"/>
                <w:sz w:val="20"/>
                <w:szCs w:val="20"/>
              </w:rPr>
              <w:t>399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435EE">
              <w:rPr>
                <w:rFonts w:ascii="Arial" w:hAnsi="Arial" w:cs="Arial"/>
                <w:sz w:val="20"/>
                <w:szCs w:val="20"/>
              </w:rPr>
              <w:t>550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435E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8435EE" w:rsidTr="00265BE3">
        <w:tc>
          <w:tcPr>
            <w:tcW w:w="648" w:type="dxa"/>
          </w:tcPr>
          <w:p w:rsidR="008435EE" w:rsidRPr="008435EE" w:rsidRDefault="008435EE" w:rsidP="00265BE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8435EE" w:rsidRDefault="00265BE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5EE">
              <w:rPr>
                <w:rFonts w:ascii="Arial" w:hAnsi="Arial" w:cs="Arial"/>
                <w:sz w:val="20"/>
                <w:szCs w:val="20"/>
              </w:rPr>
              <w:t>Total number of shares</w:t>
            </w:r>
          </w:p>
        </w:tc>
        <w:tc>
          <w:tcPr>
            <w:tcW w:w="1764" w:type="dxa"/>
          </w:tcPr>
          <w:p w:rsidR="008435EE" w:rsidRDefault="00265BE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2394" w:type="dxa"/>
          </w:tcPr>
          <w:p w:rsidR="008435EE" w:rsidRDefault="00265BE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5EE">
              <w:rPr>
                <w:rFonts w:ascii="Arial" w:hAnsi="Arial" w:cs="Arial"/>
                <w:sz w:val="20"/>
                <w:szCs w:val="20"/>
              </w:rPr>
              <w:t>356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435EE">
              <w:rPr>
                <w:rFonts w:ascii="Arial" w:hAnsi="Arial" w:cs="Arial"/>
                <w:sz w:val="20"/>
                <w:szCs w:val="20"/>
              </w:rPr>
              <w:t>939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435EE">
              <w:rPr>
                <w:rFonts w:ascii="Arial" w:hAnsi="Arial" w:cs="Arial"/>
                <w:sz w:val="20"/>
                <w:szCs w:val="20"/>
              </w:rPr>
              <w:t>955</w:t>
            </w:r>
          </w:p>
        </w:tc>
      </w:tr>
      <w:tr w:rsidR="00265BE3" w:rsidTr="00265BE3">
        <w:tc>
          <w:tcPr>
            <w:tcW w:w="648" w:type="dxa"/>
          </w:tcPr>
          <w:p w:rsidR="00265BE3" w:rsidRPr="008435EE" w:rsidRDefault="00265BE3" w:rsidP="00265BE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265BE3" w:rsidRDefault="00265BE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5EE">
              <w:rPr>
                <w:rFonts w:ascii="Arial" w:hAnsi="Arial" w:cs="Arial"/>
                <w:sz w:val="20"/>
                <w:szCs w:val="20"/>
              </w:rPr>
              <w:t>Profit before</w:t>
            </w:r>
            <w:r w:rsidR="00933938">
              <w:rPr>
                <w:rFonts w:ascii="Arial" w:hAnsi="Arial" w:cs="Arial"/>
                <w:sz w:val="20"/>
                <w:szCs w:val="20"/>
              </w:rPr>
              <w:t xml:space="preserve"> tax in the financial statement</w:t>
            </w:r>
          </w:p>
        </w:tc>
        <w:tc>
          <w:tcPr>
            <w:tcW w:w="1764" w:type="dxa"/>
          </w:tcPr>
          <w:p w:rsidR="00265BE3" w:rsidRDefault="00265BE3">
            <w:r w:rsidRPr="006C05F6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394" w:type="dxa"/>
          </w:tcPr>
          <w:p w:rsidR="00265BE3" w:rsidRDefault="00265BE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5E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435EE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435EE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435EE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435E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265BE3" w:rsidTr="00265BE3">
        <w:tc>
          <w:tcPr>
            <w:tcW w:w="648" w:type="dxa"/>
          </w:tcPr>
          <w:p w:rsidR="00265BE3" w:rsidRPr="008435EE" w:rsidRDefault="00265BE3" w:rsidP="00265BE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265BE3" w:rsidRDefault="00265BE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5EE">
              <w:rPr>
                <w:rFonts w:ascii="Arial" w:hAnsi="Arial" w:cs="Arial"/>
                <w:sz w:val="20"/>
                <w:szCs w:val="20"/>
              </w:rPr>
              <w:t>Corporate Income Tax</w:t>
            </w:r>
          </w:p>
        </w:tc>
        <w:tc>
          <w:tcPr>
            <w:tcW w:w="1764" w:type="dxa"/>
          </w:tcPr>
          <w:p w:rsidR="00265BE3" w:rsidRDefault="00265BE3">
            <w:r w:rsidRPr="006C05F6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394" w:type="dxa"/>
          </w:tcPr>
          <w:p w:rsidR="00265BE3" w:rsidRDefault="00265BE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5EE">
              <w:rPr>
                <w:rFonts w:ascii="Arial" w:hAnsi="Arial" w:cs="Arial"/>
                <w:sz w:val="20"/>
                <w:szCs w:val="20"/>
              </w:rPr>
              <w:t>187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435EE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435EE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435E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265BE3" w:rsidTr="00265BE3">
        <w:tc>
          <w:tcPr>
            <w:tcW w:w="648" w:type="dxa"/>
          </w:tcPr>
          <w:p w:rsidR="00265BE3" w:rsidRPr="008435EE" w:rsidRDefault="00265BE3" w:rsidP="00265BE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265BE3" w:rsidRDefault="00265BE3" w:rsidP="009339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5EE"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  <w:r w:rsidR="00933938">
              <w:rPr>
                <w:rFonts w:ascii="Arial" w:hAnsi="Arial" w:cs="Arial"/>
                <w:sz w:val="20"/>
                <w:szCs w:val="20"/>
              </w:rPr>
              <w:t xml:space="preserve">in the financial statement </w:t>
            </w:r>
          </w:p>
        </w:tc>
        <w:tc>
          <w:tcPr>
            <w:tcW w:w="1764" w:type="dxa"/>
          </w:tcPr>
          <w:p w:rsidR="00265BE3" w:rsidRDefault="00265BE3">
            <w:r w:rsidRPr="006C05F6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394" w:type="dxa"/>
          </w:tcPr>
          <w:p w:rsidR="00265BE3" w:rsidRDefault="00265BE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5EE">
              <w:rPr>
                <w:rFonts w:ascii="Arial" w:hAnsi="Arial" w:cs="Arial"/>
                <w:sz w:val="20"/>
                <w:szCs w:val="20"/>
              </w:rPr>
              <w:t>913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435EE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435EE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435E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265BE3" w:rsidTr="00265BE3">
        <w:tc>
          <w:tcPr>
            <w:tcW w:w="648" w:type="dxa"/>
          </w:tcPr>
          <w:p w:rsidR="00265BE3" w:rsidRPr="008435EE" w:rsidRDefault="00265BE3" w:rsidP="00265BE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265BE3" w:rsidRDefault="0093393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Profits of</w:t>
            </w:r>
            <w:r w:rsidR="00265BE3" w:rsidRPr="008435EE">
              <w:rPr>
                <w:rFonts w:ascii="Arial" w:hAnsi="Arial" w:cs="Arial"/>
                <w:sz w:val="20"/>
                <w:szCs w:val="20"/>
              </w:rPr>
              <w:t xml:space="preserve"> previous years</w:t>
            </w:r>
          </w:p>
        </w:tc>
        <w:tc>
          <w:tcPr>
            <w:tcW w:w="1764" w:type="dxa"/>
          </w:tcPr>
          <w:p w:rsidR="00265BE3" w:rsidRDefault="00265BE3">
            <w:r w:rsidRPr="006C05F6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394" w:type="dxa"/>
          </w:tcPr>
          <w:p w:rsidR="00265BE3" w:rsidRDefault="00265BE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5E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435EE">
              <w:rPr>
                <w:rFonts w:ascii="Arial" w:hAnsi="Arial" w:cs="Arial"/>
                <w:sz w:val="20"/>
                <w:szCs w:val="20"/>
              </w:rPr>
              <w:t>008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435EE">
              <w:rPr>
                <w:rFonts w:ascii="Arial" w:hAnsi="Arial" w:cs="Arial"/>
                <w:sz w:val="20"/>
                <w:szCs w:val="20"/>
              </w:rPr>
              <w:t>072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435EE">
              <w:rPr>
                <w:rFonts w:ascii="Arial" w:hAnsi="Arial" w:cs="Arial"/>
                <w:sz w:val="20"/>
                <w:szCs w:val="20"/>
              </w:rPr>
              <w:t>233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435EE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</w:tr>
      <w:tr w:rsidR="00265BE3" w:rsidTr="00265BE3">
        <w:tc>
          <w:tcPr>
            <w:tcW w:w="648" w:type="dxa"/>
          </w:tcPr>
          <w:p w:rsidR="00265BE3" w:rsidRPr="008435EE" w:rsidRDefault="00265BE3" w:rsidP="00265BE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265BE3" w:rsidRDefault="00265BE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5EE">
              <w:rPr>
                <w:rFonts w:ascii="Arial" w:hAnsi="Arial" w:cs="Arial"/>
                <w:sz w:val="20"/>
                <w:szCs w:val="20"/>
              </w:rPr>
              <w:t>Appropriation to funds in 2020</w:t>
            </w:r>
          </w:p>
        </w:tc>
        <w:tc>
          <w:tcPr>
            <w:tcW w:w="1764" w:type="dxa"/>
          </w:tcPr>
          <w:p w:rsidR="00265BE3" w:rsidRDefault="00265BE3">
            <w:r w:rsidRPr="006C05F6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394" w:type="dxa"/>
          </w:tcPr>
          <w:p w:rsidR="00265BE3" w:rsidRDefault="00265BE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5EE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435EE">
              <w:rPr>
                <w:rFonts w:ascii="Arial" w:hAnsi="Arial" w:cs="Arial"/>
                <w:sz w:val="20"/>
                <w:szCs w:val="20"/>
              </w:rPr>
              <w:t>520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435EE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435E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265BE3" w:rsidTr="00265BE3">
        <w:tc>
          <w:tcPr>
            <w:tcW w:w="648" w:type="dxa"/>
          </w:tcPr>
          <w:p w:rsidR="00265BE3" w:rsidRDefault="00265BE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265BE3" w:rsidRDefault="00265BE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5EE">
              <w:rPr>
                <w:rFonts w:ascii="Arial" w:hAnsi="Arial" w:cs="Arial"/>
                <w:sz w:val="20"/>
                <w:szCs w:val="20"/>
              </w:rPr>
              <w:t>Investment and development fund (3% of profit after tax)</w:t>
            </w:r>
          </w:p>
        </w:tc>
        <w:tc>
          <w:tcPr>
            <w:tcW w:w="1764" w:type="dxa"/>
          </w:tcPr>
          <w:p w:rsidR="00265BE3" w:rsidRDefault="00265BE3">
            <w:r w:rsidRPr="006C05F6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394" w:type="dxa"/>
          </w:tcPr>
          <w:p w:rsidR="00265BE3" w:rsidRDefault="00265BE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5EE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435EE">
              <w:rPr>
                <w:rFonts w:ascii="Arial" w:hAnsi="Arial" w:cs="Arial"/>
                <w:sz w:val="20"/>
                <w:szCs w:val="20"/>
              </w:rPr>
              <w:t>390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435EE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435E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265BE3" w:rsidTr="00265BE3">
        <w:tc>
          <w:tcPr>
            <w:tcW w:w="648" w:type="dxa"/>
          </w:tcPr>
          <w:p w:rsidR="00265BE3" w:rsidRDefault="00265BE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265BE3" w:rsidRDefault="00265BE3" w:rsidP="009339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8435EE">
              <w:rPr>
                <w:rFonts w:ascii="Arial" w:hAnsi="Arial" w:cs="Arial"/>
                <w:sz w:val="20"/>
                <w:szCs w:val="20"/>
              </w:rPr>
              <w:t xml:space="preserve">eward </w:t>
            </w:r>
            <w:r w:rsidR="00933938">
              <w:rPr>
                <w:rFonts w:ascii="Arial" w:hAnsi="Arial" w:cs="Arial"/>
                <w:sz w:val="20"/>
                <w:szCs w:val="20"/>
              </w:rPr>
              <w:t>and welfare fund (1% of profit after tax)</w:t>
            </w:r>
          </w:p>
        </w:tc>
        <w:tc>
          <w:tcPr>
            <w:tcW w:w="1764" w:type="dxa"/>
          </w:tcPr>
          <w:p w:rsidR="00265BE3" w:rsidRDefault="00265BE3">
            <w:r w:rsidRPr="006C05F6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394" w:type="dxa"/>
          </w:tcPr>
          <w:p w:rsidR="00265BE3" w:rsidRDefault="00265BE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5E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435EE">
              <w:rPr>
                <w:rFonts w:ascii="Arial" w:hAnsi="Arial" w:cs="Arial"/>
                <w:sz w:val="20"/>
                <w:szCs w:val="20"/>
              </w:rPr>
              <w:t>130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435EE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435E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265BE3" w:rsidTr="00265BE3">
        <w:tc>
          <w:tcPr>
            <w:tcW w:w="648" w:type="dxa"/>
          </w:tcPr>
          <w:p w:rsidR="00265BE3" w:rsidRDefault="00265BE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70" w:type="dxa"/>
          </w:tcPr>
          <w:p w:rsidR="00265BE3" w:rsidRDefault="00265BE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5EE">
              <w:rPr>
                <w:rFonts w:ascii="Arial" w:hAnsi="Arial" w:cs="Arial"/>
                <w:sz w:val="20"/>
                <w:szCs w:val="20"/>
              </w:rPr>
              <w:t>Remaining profit of previous years</w:t>
            </w:r>
            <w:r w:rsidR="00933938">
              <w:rPr>
                <w:rFonts w:ascii="Arial" w:hAnsi="Arial" w:cs="Arial"/>
                <w:sz w:val="20"/>
                <w:szCs w:val="20"/>
              </w:rPr>
              <w:t xml:space="preserve"> and 2020 for dividend payment to shareholders</w:t>
            </w:r>
          </w:p>
        </w:tc>
        <w:tc>
          <w:tcPr>
            <w:tcW w:w="1764" w:type="dxa"/>
          </w:tcPr>
          <w:p w:rsidR="00265BE3" w:rsidRDefault="00265BE3">
            <w:r w:rsidRPr="006C05F6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394" w:type="dxa"/>
          </w:tcPr>
          <w:p w:rsidR="00265BE3" w:rsidRDefault="00265BE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5E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435EE">
              <w:rPr>
                <w:rFonts w:ascii="Arial" w:hAnsi="Arial" w:cs="Arial"/>
                <w:sz w:val="20"/>
                <w:szCs w:val="20"/>
              </w:rPr>
              <w:t>884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435EE">
              <w:rPr>
                <w:rFonts w:ascii="Arial" w:hAnsi="Arial" w:cs="Arial"/>
                <w:sz w:val="20"/>
                <w:szCs w:val="20"/>
              </w:rPr>
              <w:t>552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435EE">
              <w:rPr>
                <w:rFonts w:ascii="Arial" w:hAnsi="Arial" w:cs="Arial"/>
                <w:sz w:val="20"/>
                <w:szCs w:val="20"/>
              </w:rPr>
              <w:t>233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435EE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</w:tr>
      <w:tr w:rsidR="00265BE3" w:rsidTr="00265BE3">
        <w:tc>
          <w:tcPr>
            <w:tcW w:w="648" w:type="dxa"/>
          </w:tcPr>
          <w:p w:rsidR="00265BE3" w:rsidRDefault="00265BE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70" w:type="dxa"/>
          </w:tcPr>
          <w:p w:rsidR="00265BE3" w:rsidRDefault="00265BE3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5EE">
              <w:rPr>
                <w:rFonts w:ascii="Arial" w:hAnsi="Arial" w:cs="Arial"/>
                <w:sz w:val="20"/>
                <w:szCs w:val="20"/>
              </w:rPr>
              <w:t>Dividend ratio (% of charter capital)</w:t>
            </w:r>
          </w:p>
        </w:tc>
        <w:tc>
          <w:tcPr>
            <w:tcW w:w="1764" w:type="dxa"/>
          </w:tcPr>
          <w:p w:rsidR="00265BE3" w:rsidRDefault="00265BE3"/>
        </w:tc>
        <w:tc>
          <w:tcPr>
            <w:tcW w:w="2394" w:type="dxa"/>
          </w:tcPr>
          <w:p w:rsidR="00265BE3" w:rsidRDefault="001B5DB4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</w:t>
            </w:r>
            <w:r w:rsidR="00265BE3" w:rsidRPr="008435EE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</w:tbl>
    <w:p w:rsidR="008435EE" w:rsidRDefault="008435E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010A" w:rsidRDefault="00C0010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</w:t>
      </w:r>
      <w:r w:rsidRPr="00C0010A">
        <w:rPr>
          <w:rFonts w:ascii="Arial" w:hAnsi="Arial" w:cs="Arial"/>
          <w:sz w:val="20"/>
          <w:szCs w:val="20"/>
        </w:rPr>
        <w:t xml:space="preserve"> Selecting the </w:t>
      </w:r>
      <w:r>
        <w:rPr>
          <w:rFonts w:ascii="Arial" w:hAnsi="Arial" w:cs="Arial"/>
          <w:sz w:val="20"/>
          <w:szCs w:val="20"/>
        </w:rPr>
        <w:t>auditing Company to conduct</w:t>
      </w:r>
      <w:r w:rsidRPr="00C0010A">
        <w:rPr>
          <w:rFonts w:ascii="Arial" w:hAnsi="Arial" w:cs="Arial"/>
          <w:sz w:val="20"/>
          <w:szCs w:val="20"/>
        </w:rPr>
        <w:t xml:space="preserve"> review of the </w:t>
      </w:r>
      <w:r>
        <w:rPr>
          <w:rFonts w:ascii="Arial" w:hAnsi="Arial" w:cs="Arial"/>
          <w:sz w:val="20"/>
          <w:szCs w:val="20"/>
        </w:rPr>
        <w:t>semi-</w:t>
      </w:r>
      <w:r w:rsidRPr="00C0010A">
        <w:rPr>
          <w:rFonts w:ascii="Arial" w:hAnsi="Arial" w:cs="Arial"/>
          <w:sz w:val="20"/>
          <w:szCs w:val="20"/>
        </w:rPr>
        <w:t>financial statements and auditing the financial statements of 2020</w:t>
      </w:r>
    </w:p>
    <w:p w:rsidR="00C0010A" w:rsidRDefault="00C0010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The</w:t>
      </w:r>
      <w:r w:rsidRPr="00C0010A">
        <w:rPr>
          <w:rFonts w:ascii="Arial" w:hAnsi="Arial" w:cs="Arial"/>
          <w:sz w:val="20"/>
          <w:szCs w:val="20"/>
        </w:rPr>
        <w:t xml:space="preserve"> Annual General Meeting of Shareholders approved the list of three (03) Auditing companies as follows: </w:t>
      </w:r>
    </w:p>
    <w:p w:rsidR="00C0010A" w:rsidRDefault="00C0010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C0010A">
        <w:rPr>
          <w:rFonts w:ascii="Arial" w:hAnsi="Arial" w:cs="Arial"/>
          <w:sz w:val="20"/>
          <w:szCs w:val="20"/>
        </w:rPr>
        <w:t xml:space="preserve"> AAC Auditing and Accounting Company Limited </w:t>
      </w:r>
    </w:p>
    <w:p w:rsidR="00C0010A" w:rsidRDefault="00C0010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010A">
        <w:rPr>
          <w:rFonts w:ascii="Arial" w:hAnsi="Arial" w:cs="Arial"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t>: Lot</w:t>
      </w:r>
      <w:r w:rsidRPr="00C0010A">
        <w:rPr>
          <w:rFonts w:ascii="Arial" w:hAnsi="Arial" w:cs="Arial"/>
          <w:sz w:val="20"/>
          <w:szCs w:val="20"/>
        </w:rPr>
        <w:t xml:space="preserve"> 78 - 80, </w:t>
      </w:r>
      <w:r>
        <w:rPr>
          <w:rFonts w:ascii="Arial" w:hAnsi="Arial" w:cs="Arial"/>
          <w:sz w:val="20"/>
          <w:szCs w:val="20"/>
        </w:rPr>
        <w:t>30/4 Street</w:t>
      </w:r>
      <w:r w:rsidRPr="00C0010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0010A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Cha</w:t>
      </w:r>
      <w:r w:rsidRPr="00C0010A">
        <w:rPr>
          <w:rFonts w:ascii="Arial" w:hAnsi="Arial" w:cs="Arial"/>
          <w:sz w:val="20"/>
          <w:szCs w:val="20"/>
        </w:rPr>
        <w:t>u</w:t>
      </w:r>
      <w:proofErr w:type="spellEnd"/>
      <w:r w:rsidRPr="00C0010A">
        <w:rPr>
          <w:rFonts w:ascii="Arial" w:hAnsi="Arial" w:cs="Arial"/>
          <w:sz w:val="20"/>
          <w:szCs w:val="20"/>
        </w:rPr>
        <w:t xml:space="preserve"> District, </w:t>
      </w:r>
      <w:r>
        <w:rPr>
          <w:rFonts w:ascii="Arial" w:hAnsi="Arial" w:cs="Arial"/>
          <w:sz w:val="20"/>
          <w:szCs w:val="20"/>
        </w:rPr>
        <w:t>Da Nang City</w:t>
      </w:r>
    </w:p>
    <w:p w:rsidR="00C0010A" w:rsidRDefault="00C0010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C0010A">
        <w:rPr>
          <w:rFonts w:ascii="Arial" w:hAnsi="Arial" w:cs="Arial"/>
          <w:sz w:val="20"/>
          <w:szCs w:val="20"/>
        </w:rPr>
        <w:t>AASC Auditing</w:t>
      </w:r>
      <w:r>
        <w:rPr>
          <w:rFonts w:ascii="Arial" w:hAnsi="Arial" w:cs="Arial"/>
          <w:sz w:val="20"/>
          <w:szCs w:val="20"/>
        </w:rPr>
        <w:t xml:space="preserve"> Firm Company Ltd</w:t>
      </w:r>
    </w:p>
    <w:p w:rsidR="00C0010A" w:rsidRDefault="00C0010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Address: No.01 Le</w:t>
      </w:r>
      <w:r w:rsidRPr="00C001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10A">
        <w:rPr>
          <w:rFonts w:ascii="Arial" w:hAnsi="Arial" w:cs="Arial"/>
          <w:sz w:val="20"/>
          <w:szCs w:val="20"/>
        </w:rPr>
        <w:t>Ph</w:t>
      </w:r>
      <w:r>
        <w:rPr>
          <w:rFonts w:ascii="Arial" w:hAnsi="Arial" w:cs="Arial"/>
          <w:sz w:val="20"/>
          <w:szCs w:val="20"/>
        </w:rPr>
        <w:t>u</w:t>
      </w:r>
      <w:r w:rsidRPr="00C0010A">
        <w:rPr>
          <w:rFonts w:ascii="Arial" w:hAnsi="Arial" w:cs="Arial"/>
          <w:sz w:val="20"/>
          <w:szCs w:val="20"/>
        </w:rPr>
        <w:t>ng</w:t>
      </w:r>
      <w:proofErr w:type="spellEnd"/>
      <w:r w:rsidRPr="00C001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10A">
        <w:rPr>
          <w:rFonts w:ascii="Arial" w:hAnsi="Arial" w:cs="Arial"/>
          <w:sz w:val="20"/>
          <w:szCs w:val="20"/>
        </w:rPr>
        <w:t>Hi</w:t>
      </w:r>
      <w:r>
        <w:rPr>
          <w:rFonts w:ascii="Arial" w:hAnsi="Arial" w:cs="Arial"/>
          <w:sz w:val="20"/>
          <w:szCs w:val="20"/>
        </w:rPr>
        <w:t>eu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Tra</w:t>
      </w:r>
      <w:r w:rsidRPr="00C0010A">
        <w:rPr>
          <w:rFonts w:ascii="Arial" w:hAnsi="Arial" w:cs="Arial"/>
          <w:sz w:val="20"/>
          <w:szCs w:val="20"/>
        </w:rPr>
        <w:t>ng</w:t>
      </w:r>
      <w:proofErr w:type="spellEnd"/>
      <w:r w:rsidRPr="00C0010A">
        <w:rPr>
          <w:rFonts w:ascii="Arial" w:hAnsi="Arial" w:cs="Arial"/>
          <w:sz w:val="20"/>
          <w:szCs w:val="20"/>
        </w:rPr>
        <w:t xml:space="preserve"> Ti</w:t>
      </w:r>
      <w:r>
        <w:rPr>
          <w:rFonts w:ascii="Arial" w:hAnsi="Arial" w:cs="Arial"/>
          <w:sz w:val="20"/>
          <w:szCs w:val="20"/>
        </w:rPr>
        <w:t xml:space="preserve">en, </w:t>
      </w:r>
      <w:proofErr w:type="spellStart"/>
      <w:r>
        <w:rPr>
          <w:rFonts w:ascii="Arial" w:hAnsi="Arial" w:cs="Arial"/>
          <w:sz w:val="20"/>
          <w:szCs w:val="20"/>
        </w:rPr>
        <w:t>Hoa</w:t>
      </w:r>
      <w:r w:rsidRPr="00C0010A">
        <w:rPr>
          <w:rFonts w:ascii="Arial" w:hAnsi="Arial" w:cs="Arial"/>
          <w:sz w:val="20"/>
          <w:szCs w:val="20"/>
        </w:rPr>
        <w:t>n</w:t>
      </w:r>
      <w:proofErr w:type="spellEnd"/>
      <w:r w:rsidRPr="00C001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10A">
        <w:rPr>
          <w:rFonts w:ascii="Arial" w:hAnsi="Arial" w:cs="Arial"/>
          <w:sz w:val="20"/>
          <w:szCs w:val="20"/>
        </w:rPr>
        <w:t>Ki</w:t>
      </w:r>
      <w:r>
        <w:rPr>
          <w:rFonts w:ascii="Arial" w:hAnsi="Arial" w:cs="Arial"/>
          <w:sz w:val="20"/>
          <w:szCs w:val="20"/>
        </w:rPr>
        <w:t>e</w:t>
      </w:r>
      <w:r w:rsidRPr="00C0010A">
        <w:rPr>
          <w:rFonts w:ascii="Arial" w:hAnsi="Arial" w:cs="Arial"/>
          <w:sz w:val="20"/>
          <w:szCs w:val="20"/>
        </w:rPr>
        <w:t>m</w:t>
      </w:r>
      <w:proofErr w:type="spellEnd"/>
      <w:r w:rsidRPr="00C0010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H</w:t>
      </w:r>
      <w:r w:rsidR="000C4BBE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0C4BBE">
        <w:rPr>
          <w:rFonts w:ascii="Arial" w:hAnsi="Arial" w:cs="Arial"/>
          <w:sz w:val="20"/>
          <w:szCs w:val="20"/>
        </w:rPr>
        <w:t>Noi</w:t>
      </w:r>
      <w:proofErr w:type="spellEnd"/>
    </w:p>
    <w:p w:rsidR="000C4BBE" w:rsidRDefault="000C4BB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C0010A" w:rsidRPr="00C0010A">
        <w:rPr>
          <w:rFonts w:ascii="Arial" w:hAnsi="Arial" w:cs="Arial"/>
          <w:sz w:val="20"/>
          <w:szCs w:val="20"/>
        </w:rPr>
        <w:t>A&amp;C A</w:t>
      </w:r>
      <w:r>
        <w:rPr>
          <w:rFonts w:ascii="Arial" w:hAnsi="Arial" w:cs="Arial"/>
          <w:sz w:val="20"/>
          <w:szCs w:val="20"/>
        </w:rPr>
        <w:t>uditing and Consulting Co., Ltd</w:t>
      </w:r>
      <w:r w:rsidR="00C0010A" w:rsidRPr="00C0010A">
        <w:rPr>
          <w:rFonts w:ascii="Arial" w:hAnsi="Arial" w:cs="Arial"/>
          <w:sz w:val="20"/>
          <w:szCs w:val="20"/>
        </w:rPr>
        <w:t xml:space="preserve">  </w:t>
      </w:r>
    </w:p>
    <w:p w:rsidR="000C4BBE" w:rsidRDefault="000C4BB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No</w:t>
      </w:r>
      <w:r w:rsidR="00C0010A" w:rsidRPr="00C0010A">
        <w:rPr>
          <w:rFonts w:ascii="Arial" w:hAnsi="Arial" w:cs="Arial"/>
          <w:sz w:val="20"/>
          <w:szCs w:val="20"/>
        </w:rPr>
        <w:t xml:space="preserve"> 02</w:t>
      </w:r>
      <w:r>
        <w:rPr>
          <w:rFonts w:ascii="Arial" w:hAnsi="Arial" w:cs="Arial"/>
          <w:sz w:val="20"/>
          <w:szCs w:val="20"/>
        </w:rPr>
        <w:t xml:space="preserve"> Truong So</w:t>
      </w:r>
      <w:r w:rsidR="00C0010A" w:rsidRPr="00C0010A">
        <w:rPr>
          <w:rFonts w:ascii="Arial" w:hAnsi="Arial" w:cs="Arial"/>
          <w:sz w:val="20"/>
          <w:szCs w:val="20"/>
        </w:rPr>
        <w:t xml:space="preserve">n, </w:t>
      </w:r>
      <w:r>
        <w:rPr>
          <w:rFonts w:ascii="Arial" w:hAnsi="Arial" w:cs="Arial"/>
          <w:sz w:val="20"/>
          <w:szCs w:val="20"/>
        </w:rPr>
        <w:t xml:space="preserve">Ward 2, Tan </w:t>
      </w:r>
      <w:proofErr w:type="spellStart"/>
      <w:r>
        <w:rPr>
          <w:rFonts w:ascii="Arial" w:hAnsi="Arial" w:cs="Arial"/>
          <w:sz w:val="20"/>
          <w:szCs w:val="20"/>
        </w:rPr>
        <w:t>Bi</w:t>
      </w:r>
      <w:r w:rsidR="00C0010A" w:rsidRPr="00C0010A">
        <w:rPr>
          <w:rFonts w:ascii="Arial" w:hAnsi="Arial" w:cs="Arial"/>
          <w:sz w:val="20"/>
          <w:szCs w:val="20"/>
        </w:rPr>
        <w:t>nh</w:t>
      </w:r>
      <w:proofErr w:type="spellEnd"/>
      <w:r w:rsidR="00C0010A" w:rsidRPr="00C0010A">
        <w:rPr>
          <w:rFonts w:ascii="Arial" w:hAnsi="Arial" w:cs="Arial"/>
          <w:sz w:val="20"/>
          <w:szCs w:val="20"/>
        </w:rPr>
        <w:t xml:space="preserve"> District, </w:t>
      </w:r>
      <w:r>
        <w:rPr>
          <w:rFonts w:ascii="Arial" w:hAnsi="Arial" w:cs="Arial"/>
          <w:sz w:val="20"/>
          <w:szCs w:val="20"/>
        </w:rPr>
        <w:t>Ho Chi Minh City</w:t>
      </w:r>
    </w:p>
    <w:p w:rsidR="00933938" w:rsidRDefault="000C4BB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C0010A" w:rsidRPr="00C0010A">
        <w:rPr>
          <w:rFonts w:ascii="Arial" w:hAnsi="Arial" w:cs="Arial"/>
          <w:sz w:val="20"/>
          <w:szCs w:val="20"/>
        </w:rPr>
        <w:t>he General Meeting of Shareholders authorized the Board of Directors and the B</w:t>
      </w:r>
      <w:r>
        <w:rPr>
          <w:rFonts w:ascii="Arial" w:hAnsi="Arial" w:cs="Arial"/>
          <w:sz w:val="20"/>
          <w:szCs w:val="20"/>
        </w:rPr>
        <w:t>oard of Supervisors to decide</w:t>
      </w:r>
      <w:r w:rsidR="00C0010A" w:rsidRPr="00C0010A">
        <w:rPr>
          <w:rFonts w:ascii="Arial" w:hAnsi="Arial" w:cs="Arial"/>
          <w:sz w:val="20"/>
          <w:szCs w:val="20"/>
        </w:rPr>
        <w:t xml:space="preserve"> the selection of one (01) of the three (03) auditing companies mentioned above to conduct the review of the </w:t>
      </w:r>
      <w:r>
        <w:rPr>
          <w:rFonts w:ascii="Arial" w:hAnsi="Arial" w:cs="Arial"/>
          <w:sz w:val="20"/>
          <w:szCs w:val="20"/>
        </w:rPr>
        <w:t xml:space="preserve">financial statements and audit </w:t>
      </w:r>
      <w:r w:rsidR="00C0010A" w:rsidRPr="00C0010A">
        <w:rPr>
          <w:rFonts w:ascii="Arial" w:hAnsi="Arial" w:cs="Arial"/>
          <w:sz w:val="20"/>
          <w:szCs w:val="20"/>
        </w:rPr>
        <w:t>the Company's financial statements in 2020 acc</w:t>
      </w:r>
      <w:r>
        <w:rPr>
          <w:rFonts w:ascii="Arial" w:hAnsi="Arial" w:cs="Arial"/>
          <w:sz w:val="20"/>
          <w:szCs w:val="20"/>
        </w:rPr>
        <w:t>ording to current regulations</w:t>
      </w:r>
    </w:p>
    <w:p w:rsidR="000C4BBE" w:rsidRDefault="000C4BB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Pr="000C4BBE">
        <w:rPr>
          <w:rFonts w:ascii="Arial" w:hAnsi="Arial" w:cs="Arial"/>
          <w:sz w:val="20"/>
          <w:szCs w:val="20"/>
        </w:rPr>
        <w:t xml:space="preserve">RESPONSIBILITIES </w:t>
      </w:r>
      <w:r>
        <w:rPr>
          <w:rFonts w:ascii="Arial" w:hAnsi="Arial" w:cs="Arial"/>
          <w:sz w:val="20"/>
          <w:szCs w:val="20"/>
        </w:rPr>
        <w:t>FOR</w:t>
      </w:r>
      <w:r w:rsidRPr="000C4BBE">
        <w:rPr>
          <w:rFonts w:ascii="Arial" w:hAnsi="Arial" w:cs="Arial"/>
          <w:sz w:val="20"/>
          <w:szCs w:val="20"/>
        </w:rPr>
        <w:t xml:space="preserve"> IMPLEMENT</w:t>
      </w:r>
      <w:r>
        <w:rPr>
          <w:rFonts w:ascii="Arial" w:hAnsi="Arial" w:cs="Arial"/>
          <w:sz w:val="20"/>
          <w:szCs w:val="20"/>
        </w:rPr>
        <w:t>ATION OF</w:t>
      </w:r>
      <w:r w:rsidRPr="000C4BBE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GENERAL MANDATE</w:t>
      </w:r>
    </w:p>
    <w:p w:rsidR="000C4BBE" w:rsidRDefault="000C4BB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0C4BBE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>General Mandate was voted and</w:t>
      </w:r>
      <w:r w:rsidRPr="000C4BBE">
        <w:rPr>
          <w:rFonts w:ascii="Arial" w:hAnsi="Arial" w:cs="Arial"/>
          <w:sz w:val="20"/>
          <w:szCs w:val="20"/>
        </w:rPr>
        <w:t xml:space="preserve"> approved by the Annual General Meeting of Shareholders in 2020 </w:t>
      </w:r>
      <w:r>
        <w:rPr>
          <w:rFonts w:ascii="Arial" w:hAnsi="Arial" w:cs="Arial"/>
          <w:sz w:val="20"/>
          <w:szCs w:val="20"/>
        </w:rPr>
        <w:t>takes effect from March 28, 2020.</w:t>
      </w:r>
      <w:r w:rsidRPr="000C4BBE">
        <w:rPr>
          <w:rFonts w:ascii="Arial" w:hAnsi="Arial" w:cs="Arial"/>
          <w:sz w:val="20"/>
          <w:szCs w:val="20"/>
        </w:rPr>
        <w:t xml:space="preserve"> The Board of Directors is responsible to send this </w:t>
      </w:r>
      <w:r>
        <w:rPr>
          <w:rFonts w:ascii="Arial" w:hAnsi="Arial" w:cs="Arial"/>
          <w:sz w:val="20"/>
          <w:szCs w:val="20"/>
        </w:rPr>
        <w:t>General Mandate</w:t>
      </w:r>
      <w:r w:rsidRPr="000C4BBE">
        <w:rPr>
          <w:rFonts w:ascii="Arial" w:hAnsi="Arial" w:cs="Arial"/>
          <w:sz w:val="20"/>
          <w:szCs w:val="20"/>
        </w:rPr>
        <w:t xml:space="preserve"> to all sha</w:t>
      </w:r>
      <w:r>
        <w:rPr>
          <w:rFonts w:ascii="Arial" w:hAnsi="Arial" w:cs="Arial"/>
          <w:sz w:val="20"/>
          <w:szCs w:val="20"/>
        </w:rPr>
        <w:t>reholders or publish it on the Company's website www.</w:t>
      </w:r>
      <w:r w:rsidRPr="000C4BBE"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ns.com.</w:t>
      </w:r>
      <w:r w:rsidRPr="000C4BBE">
        <w:rPr>
          <w:rFonts w:ascii="Arial" w:hAnsi="Arial" w:cs="Arial"/>
          <w:sz w:val="20"/>
          <w:szCs w:val="20"/>
        </w:rPr>
        <w:t xml:space="preserve">vn within 24 hours from the date this </w:t>
      </w:r>
      <w:r>
        <w:rPr>
          <w:rFonts w:ascii="Arial" w:hAnsi="Arial" w:cs="Arial"/>
          <w:sz w:val="20"/>
          <w:szCs w:val="20"/>
        </w:rPr>
        <w:t>General Mandate takes effect</w:t>
      </w:r>
    </w:p>
    <w:p w:rsidR="000C4BBE" w:rsidRDefault="000C4BB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4BBE">
        <w:rPr>
          <w:rFonts w:ascii="Arial" w:hAnsi="Arial" w:cs="Arial"/>
          <w:sz w:val="20"/>
          <w:szCs w:val="20"/>
        </w:rPr>
        <w:t xml:space="preserve">  2</w:t>
      </w:r>
      <w:r>
        <w:rPr>
          <w:rFonts w:ascii="Arial" w:hAnsi="Arial" w:cs="Arial"/>
          <w:sz w:val="20"/>
          <w:szCs w:val="20"/>
        </w:rPr>
        <w:t>.</w:t>
      </w:r>
      <w:r w:rsidRPr="000C4BBE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General Meeting of Shareholders assigned</w:t>
      </w:r>
      <w:r w:rsidRPr="000C4BBE">
        <w:rPr>
          <w:rFonts w:ascii="Arial" w:hAnsi="Arial" w:cs="Arial"/>
          <w:sz w:val="20"/>
          <w:szCs w:val="20"/>
        </w:rPr>
        <w:t xml:space="preserve"> the Board of Directors, the Executive Board and the S</w:t>
      </w:r>
      <w:r>
        <w:rPr>
          <w:rFonts w:ascii="Arial" w:hAnsi="Arial" w:cs="Arial"/>
          <w:sz w:val="20"/>
          <w:szCs w:val="20"/>
        </w:rPr>
        <w:t xml:space="preserve">upervisory Board to popularize </w:t>
      </w:r>
      <w:r w:rsidRPr="000C4BBE">
        <w:rPr>
          <w:rFonts w:ascii="Arial" w:hAnsi="Arial" w:cs="Arial"/>
          <w:sz w:val="20"/>
          <w:szCs w:val="20"/>
        </w:rPr>
        <w:t>and implement the content</w:t>
      </w:r>
      <w:r>
        <w:rPr>
          <w:rFonts w:ascii="Arial" w:hAnsi="Arial" w:cs="Arial"/>
          <w:sz w:val="20"/>
          <w:szCs w:val="20"/>
        </w:rPr>
        <w:t>s</w:t>
      </w:r>
      <w:r w:rsidRPr="000C4BBE">
        <w:rPr>
          <w:rFonts w:ascii="Arial" w:hAnsi="Arial" w:cs="Arial"/>
          <w:sz w:val="20"/>
          <w:szCs w:val="20"/>
        </w:rPr>
        <w:t xml:space="preserve"> of the </w:t>
      </w:r>
      <w:r>
        <w:rPr>
          <w:rFonts w:ascii="Arial" w:hAnsi="Arial" w:cs="Arial"/>
          <w:sz w:val="20"/>
          <w:szCs w:val="20"/>
        </w:rPr>
        <w:t xml:space="preserve">General Mandate in accordance with </w:t>
      </w:r>
      <w:r w:rsidRPr="000C4BB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the</w:t>
      </w:r>
      <w:r w:rsidRPr="000C4BBE">
        <w:rPr>
          <w:rFonts w:ascii="Arial" w:hAnsi="Arial" w:cs="Arial"/>
          <w:sz w:val="20"/>
          <w:szCs w:val="20"/>
        </w:rPr>
        <w:t xml:space="preserve"> order and procedures </w:t>
      </w:r>
      <w:r>
        <w:rPr>
          <w:rFonts w:ascii="Arial" w:hAnsi="Arial" w:cs="Arial"/>
          <w:sz w:val="20"/>
          <w:szCs w:val="20"/>
        </w:rPr>
        <w:t>and the law,</w:t>
      </w:r>
      <w:r w:rsidRPr="000C4BBE">
        <w:rPr>
          <w:rFonts w:ascii="Arial" w:hAnsi="Arial" w:cs="Arial"/>
          <w:sz w:val="20"/>
          <w:szCs w:val="20"/>
        </w:rPr>
        <w:t xml:space="preserve"> Charter of organization and operation of the Company</w:t>
      </w:r>
    </w:p>
    <w:p w:rsidR="000C4BBE" w:rsidRDefault="000C4BB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0C4BBE">
        <w:rPr>
          <w:rFonts w:ascii="Arial" w:hAnsi="Arial" w:cs="Arial"/>
          <w:sz w:val="20"/>
          <w:szCs w:val="20"/>
        </w:rPr>
        <w:t xml:space="preserve">The Board of Directors is responsible for reporting the situation and results of implementation of this </w:t>
      </w:r>
      <w:r>
        <w:rPr>
          <w:rFonts w:ascii="Arial" w:hAnsi="Arial" w:cs="Arial"/>
          <w:sz w:val="20"/>
          <w:szCs w:val="20"/>
        </w:rPr>
        <w:t>General Mandate</w:t>
      </w:r>
      <w:r w:rsidRPr="000C4BBE">
        <w:rPr>
          <w:rFonts w:ascii="Arial" w:hAnsi="Arial" w:cs="Arial"/>
          <w:sz w:val="20"/>
          <w:szCs w:val="20"/>
        </w:rPr>
        <w:t xml:space="preserve"> in the next </w:t>
      </w:r>
      <w:r>
        <w:rPr>
          <w:rFonts w:ascii="Arial" w:hAnsi="Arial" w:cs="Arial"/>
          <w:sz w:val="20"/>
          <w:szCs w:val="20"/>
        </w:rPr>
        <w:t xml:space="preserve">General Meeting of Shareholders </w:t>
      </w:r>
    </w:p>
    <w:sectPr w:rsidR="000C4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93976"/>
    <w:multiLevelType w:val="hybridMultilevel"/>
    <w:tmpl w:val="41384DBC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A0B74"/>
    <w:rsid w:val="000C4BBE"/>
    <w:rsid w:val="000E2DC7"/>
    <w:rsid w:val="00132EC5"/>
    <w:rsid w:val="00146DCF"/>
    <w:rsid w:val="0016411D"/>
    <w:rsid w:val="001B5DB4"/>
    <w:rsid w:val="001C3A4F"/>
    <w:rsid w:val="001F34A1"/>
    <w:rsid w:val="001F6744"/>
    <w:rsid w:val="00230F66"/>
    <w:rsid w:val="00265BE3"/>
    <w:rsid w:val="002B42CC"/>
    <w:rsid w:val="002D481A"/>
    <w:rsid w:val="002D4939"/>
    <w:rsid w:val="002D53EE"/>
    <w:rsid w:val="002E7FD0"/>
    <w:rsid w:val="00304722"/>
    <w:rsid w:val="00327CF7"/>
    <w:rsid w:val="0033774A"/>
    <w:rsid w:val="00397004"/>
    <w:rsid w:val="003A5CE9"/>
    <w:rsid w:val="003B73F7"/>
    <w:rsid w:val="00467BC0"/>
    <w:rsid w:val="00496733"/>
    <w:rsid w:val="004B2BA6"/>
    <w:rsid w:val="00503DD6"/>
    <w:rsid w:val="0052379D"/>
    <w:rsid w:val="00531A58"/>
    <w:rsid w:val="005610CB"/>
    <w:rsid w:val="0058434E"/>
    <w:rsid w:val="005B40E5"/>
    <w:rsid w:val="006305AC"/>
    <w:rsid w:val="006E15A6"/>
    <w:rsid w:val="00745D9A"/>
    <w:rsid w:val="0077456B"/>
    <w:rsid w:val="007A072F"/>
    <w:rsid w:val="007A1FCC"/>
    <w:rsid w:val="007B67AF"/>
    <w:rsid w:val="008134FC"/>
    <w:rsid w:val="00837771"/>
    <w:rsid w:val="008435EE"/>
    <w:rsid w:val="0084485C"/>
    <w:rsid w:val="00853748"/>
    <w:rsid w:val="008544C2"/>
    <w:rsid w:val="008C7A42"/>
    <w:rsid w:val="00933938"/>
    <w:rsid w:val="00981275"/>
    <w:rsid w:val="009C28F2"/>
    <w:rsid w:val="009E1744"/>
    <w:rsid w:val="00A06443"/>
    <w:rsid w:val="00A06521"/>
    <w:rsid w:val="00A128FC"/>
    <w:rsid w:val="00A34999"/>
    <w:rsid w:val="00A63B6C"/>
    <w:rsid w:val="00A656DC"/>
    <w:rsid w:val="00AA54AD"/>
    <w:rsid w:val="00AB21B9"/>
    <w:rsid w:val="00AB2C99"/>
    <w:rsid w:val="00AB32F6"/>
    <w:rsid w:val="00AC4F64"/>
    <w:rsid w:val="00AF67BE"/>
    <w:rsid w:val="00B04704"/>
    <w:rsid w:val="00B70D7E"/>
    <w:rsid w:val="00BA1F12"/>
    <w:rsid w:val="00BA3FB7"/>
    <w:rsid w:val="00BD3CCA"/>
    <w:rsid w:val="00C0010A"/>
    <w:rsid w:val="00C36031"/>
    <w:rsid w:val="00C940B5"/>
    <w:rsid w:val="00D52C26"/>
    <w:rsid w:val="00D651E1"/>
    <w:rsid w:val="00D7328F"/>
    <w:rsid w:val="00D74339"/>
    <w:rsid w:val="00D77F89"/>
    <w:rsid w:val="00D82916"/>
    <w:rsid w:val="00D92EFF"/>
    <w:rsid w:val="00DA54D0"/>
    <w:rsid w:val="00DD263A"/>
    <w:rsid w:val="00DD4B85"/>
    <w:rsid w:val="00DE5C3C"/>
    <w:rsid w:val="00E5565D"/>
    <w:rsid w:val="00ED6D41"/>
    <w:rsid w:val="00F272CE"/>
    <w:rsid w:val="00F320D6"/>
    <w:rsid w:val="00F86F7A"/>
    <w:rsid w:val="00F903A5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C5A498-72D1-49C3-8851-3C5086D6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92</cp:revision>
  <dcterms:created xsi:type="dcterms:W3CDTF">2019-10-16T10:03:00Z</dcterms:created>
  <dcterms:modified xsi:type="dcterms:W3CDTF">2020-04-03T11:54:00Z</dcterms:modified>
</cp:coreProperties>
</file>